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Обгрунтування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>
      <w:pPr>
        <w:pStyle w:val="Normal"/>
        <w:jc w:val="center"/>
        <w:rPr/>
      </w:pPr>
      <w:r>
        <w:rPr/>
        <w:t>(відповідно до пункту 4</w:t>
      </w:r>
      <w:r>
        <w:rPr>
          <w:vertAlign w:val="superscript"/>
        </w:rPr>
        <w:t xml:space="preserve">1 </w:t>
      </w:r>
      <w:r>
        <w:rPr/>
        <w:t>постанови КМУ від 11.10.2016 № 710 «Про ефективне використання державних коштів»)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  <w:t xml:space="preserve">Процедура закупівлі: </w:t>
      </w:r>
      <w:r>
        <w:rPr>
          <w:sz w:val="26"/>
          <w:szCs w:val="26"/>
        </w:rPr>
        <w:t xml:space="preserve">Відкриті торги </w:t>
      </w:r>
      <w:r>
        <w:rPr>
          <w:rFonts w:eastAsia="Times New Roman" w:cs="Times New Roman"/>
          <w:color w:val="auto"/>
          <w:kern w:val="0"/>
          <w:sz w:val="26"/>
          <w:szCs w:val="26"/>
          <w:lang w:val="uk-UA" w:eastAsia="ar-SA" w:bidi="ar-SA"/>
        </w:rPr>
        <w:t>з особливостями</w:t>
      </w:r>
      <w:r>
        <w:rPr>
          <w:sz w:val="26"/>
          <w:szCs w:val="26"/>
        </w:rPr>
        <w:t>.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  <w:t xml:space="preserve">Назва закупівлі: </w:t>
      </w:r>
      <w:r>
        <w:rPr>
          <w:rStyle w:val="Style15"/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z w:val="24"/>
          <w:szCs w:val="24"/>
          <w:u w:val="none"/>
          <w:effect w:val="none"/>
          <w:lang w:val="uk-UA" w:eastAsia="zh-CN" w:bidi="ar-SA"/>
        </w:rPr>
        <w:t>Д</w:t>
      </w:r>
      <w:r>
        <w:rPr>
          <w:rFonts w:eastAsia="Times New Roman"/>
          <w:b w:val="false"/>
          <w:i w:val="false"/>
          <w:caps w:val="false"/>
          <w:smallCaps w:val="false"/>
          <w:strike w:val="false"/>
          <w:dstrike w:val="false"/>
          <w:szCs w:val="24"/>
          <w:u w:val="none"/>
          <w:effect w:val="none"/>
        </w:rPr>
        <w:t>К 021:2015–</w:t>
      </w:r>
      <w:r>
        <w:rPr>
          <w:rFonts w:eastAsia="Times New Roman"/>
          <w:b w:val="false"/>
          <w:i w:val="false"/>
          <w:caps w:val="false"/>
          <w:smallCaps w:val="false"/>
          <w:strike w:val="false"/>
          <w:dstrike w:val="false"/>
          <w:szCs w:val="24"/>
          <w:u w:val="none"/>
          <w:effect w:val="none"/>
          <w:lang w:eastAsia="ar-SA"/>
        </w:rPr>
        <w:t>77310000-6 Послуги з озеленення територій та утримання зелених насаджень (косіння та посів трави)</w:t>
      </w:r>
      <w:r>
        <w:rPr>
          <w:rFonts w:eastAsia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6"/>
          <w:szCs w:val="26"/>
          <w:u w:val="none"/>
          <w:effect w:val="none"/>
          <w:lang w:val="en-US" w:eastAsia="ar-SA"/>
        </w:rPr>
        <w:t xml:space="preserve">. </w:t>
      </w:r>
      <w:r>
        <w:rPr>
          <w:rFonts w:eastAsia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6"/>
          <w:szCs w:val="26"/>
          <w:u w:val="none"/>
          <w:effect w:val="none"/>
          <w:lang w:val="uk-UA" w:eastAsia="ar-SA"/>
        </w:rPr>
        <w:t xml:space="preserve">Ідентифікатор закупівлі:  </w:t>
      </w:r>
      <w:r>
        <w:rPr>
          <w:sz w:val="26"/>
          <w:szCs w:val="26"/>
          <w:lang w:val="en-US"/>
        </w:rPr>
        <w:t>UA-2023-04-17-003876-a.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ab/>
      </w:r>
      <w:r>
        <w:rPr>
          <w:b/>
          <w:bCs/>
          <w:sz w:val="26"/>
          <w:szCs w:val="26"/>
          <w:lang w:val="uk-UA"/>
        </w:rPr>
        <w:t>Очікувана вартість предмета закупівлі:</w:t>
      </w:r>
      <w:r>
        <w:rPr>
          <w:sz w:val="26"/>
          <w:szCs w:val="26"/>
          <w:lang w:val="uk-UA"/>
        </w:rPr>
        <w:t xml:space="preserve"> 1 500 000,00 грн.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ab/>
      </w:r>
      <w:r>
        <w:rPr>
          <w:b/>
          <w:bCs/>
          <w:sz w:val="26"/>
          <w:szCs w:val="26"/>
          <w:lang w:val="uk-UA"/>
        </w:rPr>
        <w:t>Обгрунтування технічних та якісних характеристик предмета закупівлі:</w:t>
      </w:r>
    </w:p>
    <w:p>
      <w:pPr>
        <w:pStyle w:val="Normal"/>
        <w:jc w:val="both"/>
        <w:rPr/>
      </w:pPr>
      <w:r>
        <w:rPr>
          <w:sz w:val="26"/>
          <w:szCs w:val="26"/>
          <w:lang w:val="uk-UA" w:bidi="ar-SA"/>
        </w:rPr>
        <w:t>Послуги надаються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lang w:val="uk-UA" w:bidi="ar-SA"/>
        </w:rPr>
        <w:t xml:space="preserve"> протягом року з врахування вимог замовника та у відповідності до технології догляду за зеленими насадженнями.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lang w:val="uk-UA" w:bidi="ar-SA"/>
        </w:rPr>
        <w:tab/>
        <w:t xml:space="preserve">Косіння трави  -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lang w:val="en-US" w:bidi="ar-SA"/>
        </w:rPr>
        <w:t>45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lang w:val="uk-UA" w:bidi="ar-SA"/>
        </w:rPr>
        <w:t>0,0 га, посів трави на площі - 0,2 га.</w:t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lang w:val="uk-UA" w:bidi="ar-SA"/>
        </w:rPr>
        <w:tab/>
        <w:t>При наданні послуг з косіння та посіву трави Виконавець повинен:</w:t>
      </w:r>
    </w:p>
    <w:p>
      <w:pPr>
        <w:pStyle w:val="Normal"/>
        <w:jc w:val="both"/>
        <w:rPr/>
      </w:pPr>
      <w:r>
        <w:rPr>
          <w:sz w:val="26"/>
          <w:szCs w:val="26"/>
          <w:lang w:val="uk-UA" w:bidi="ar-SA"/>
        </w:rPr>
        <w:tab/>
        <w:t xml:space="preserve">- </w:t>
      </w:r>
      <w:r>
        <w:rPr>
          <w:rFonts w:cs="Times New Roman"/>
          <w:sz w:val="26"/>
          <w:szCs w:val="26"/>
          <w:lang w:val="uk-UA" w:bidi="ar-SA"/>
        </w:rPr>
        <w:t xml:space="preserve">бути оснащений спеціалізованою технікою для </w:t>
      </w:r>
      <w:r>
        <w:rPr>
          <w:rFonts w:cs="Times New Roman"/>
          <w:b w:val="false"/>
          <w:bCs w:val="false"/>
          <w:iCs/>
          <w:sz w:val="26"/>
          <w:szCs w:val="26"/>
          <w:lang w:val="uk-UA" w:bidi="ar-SA"/>
        </w:rPr>
        <w:t>забезпечення якісного виконання в подальшому умов договору</w:t>
      </w:r>
      <w:r>
        <w:rPr>
          <w:rFonts w:cs="Times New Roman"/>
          <w:sz w:val="26"/>
          <w:szCs w:val="26"/>
          <w:lang w:val="uk-UA" w:bidi="ar-SA"/>
        </w:rPr>
        <w:t xml:space="preserve">; </w:t>
      </w:r>
    </w:p>
    <w:p>
      <w:pPr>
        <w:pStyle w:val="Normal"/>
        <w:jc w:val="both"/>
        <w:rPr>
          <w:rFonts w:cs="Times New Roman"/>
          <w:sz w:val="26"/>
          <w:szCs w:val="26"/>
          <w:lang w:val="uk-UA" w:bidi="ar-SA"/>
        </w:rPr>
      </w:pPr>
      <w:r>
        <w:rPr>
          <w:rFonts w:cs="Times New Roman"/>
          <w:sz w:val="26"/>
          <w:szCs w:val="26"/>
          <w:lang w:val="uk-UA" w:bidi="ar-SA"/>
        </w:rPr>
        <w:tab/>
        <w:t>- мати захисне обладнання;</w:t>
      </w:r>
    </w:p>
    <w:p>
      <w:pPr>
        <w:pStyle w:val="Normal"/>
        <w:jc w:val="both"/>
        <w:rPr>
          <w:rFonts w:cs="Times New Roman"/>
          <w:sz w:val="26"/>
          <w:szCs w:val="26"/>
          <w:lang w:val="uk-UA" w:bidi="ar-SA"/>
        </w:rPr>
      </w:pPr>
      <w:r>
        <w:rPr>
          <w:rFonts w:cs="Times New Roman"/>
          <w:sz w:val="26"/>
          <w:szCs w:val="26"/>
          <w:lang w:val="uk-UA" w:bidi="ar-SA"/>
        </w:rPr>
        <w:tab/>
        <w:t>- під час проведення робіт (надання послуг) огороджувати зони косіння трави сигнальними стрічками.</w:t>
      </w:r>
    </w:p>
    <w:p>
      <w:pPr>
        <w:pStyle w:val="Normal"/>
        <w:jc w:val="both"/>
        <w:rPr/>
      </w:pPr>
      <w:r>
        <w:rPr>
          <w:sz w:val="26"/>
          <w:szCs w:val="26"/>
          <w:lang w:val="uk-UA" w:bidi="ar-SA"/>
        </w:rPr>
        <w:tab/>
      </w:r>
      <w:r>
        <w:rPr>
          <w:sz w:val="26"/>
          <w:szCs w:val="26"/>
        </w:rPr>
        <w:t>Виконавець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 повинен використовувати обладнання та матеріали, які не спричиняють шкоди довкіллю, не допускати забруднення навколишнього середовища паливно-мастильними матеріалами, які використовуються в процесі експлуатації машин та механізмів при наданні послуг. </w:t>
      </w:r>
    </w:p>
    <w:p>
      <w:pPr>
        <w:pStyle w:val="Default"/>
        <w:autoSpaceDE w:val="false"/>
        <w:jc w:val="both"/>
        <w:rPr/>
      </w:pPr>
      <w:r>
        <w:rPr>
          <w:rFonts w:eastAsia="Times New Roman" w:cs="Times New Roman" w:ascii="Times New Roman" w:hAnsi="Times New Roman"/>
          <w:strike w:val="false"/>
          <w:dstrike w:val="false"/>
          <w:color w:val="000000"/>
          <w:sz w:val="26"/>
          <w:szCs w:val="26"/>
          <w:u w:val="none"/>
        </w:rPr>
        <w:tab/>
        <w:t xml:space="preserve">В складі тендерної пропозиції Учасник зобов’язаний подати довідку/лист довільної форми про недопущення забруднення в процесі виконання послуг або розроблені учасником заходи із захисту довкілля </w:t>
      </w:r>
      <w:r>
        <w:rPr>
          <w:rFonts w:eastAsia="Times New Roman" w:cs="Times New Roman" w:ascii="Times New Roman" w:hAnsi="Times New Roman"/>
          <w:strike w:val="false"/>
          <w:dstrike w:val="false"/>
          <w:color w:val="000000"/>
          <w:sz w:val="26"/>
          <w:szCs w:val="26"/>
          <w:u w:val="none"/>
          <w:lang w:val="uk-UA"/>
        </w:rPr>
        <w:t>та природного середовища.</w:t>
      </w:r>
    </w:p>
    <w:p>
      <w:pPr>
        <w:pStyle w:val="Normal"/>
        <w:tabs>
          <w:tab w:val="clear" w:pos="709"/>
          <w:tab w:val="left" w:pos="855" w:leader="none"/>
        </w:tabs>
        <w:autoSpaceDE w:val="false"/>
        <w:jc w:val="both"/>
        <w:rPr>
          <w:sz w:val="26"/>
          <w:szCs w:val="26"/>
        </w:rPr>
      </w:pPr>
      <w:r>
        <w:rPr>
          <w:sz w:val="26"/>
          <w:szCs w:val="26"/>
        </w:rPr>
        <w:tab/>
        <w:t>Персонал виконавця, який безпосередньо здійснює косіння трави, повинен мати дозвіл (сертифікат тощо) щодо проходження навчання по роботі з обладнанням, яке має двигуни внутрішньтого згорання.</w:t>
      </w:r>
    </w:p>
    <w:p>
      <w:pPr>
        <w:pStyle w:val="Normal"/>
        <w:tabs>
          <w:tab w:val="clear" w:pos="709"/>
          <w:tab w:val="left" w:pos="735" w:leader="none"/>
        </w:tabs>
        <w:autoSpaceDE w:val="false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u w:val="none"/>
        </w:rPr>
      </w:r>
    </w:p>
    <w:p>
      <w:pPr>
        <w:pStyle w:val="Normal"/>
        <w:ind w:left="0" w:right="0" w:firstLine="690"/>
        <w:jc w:val="center"/>
        <w:rPr>
          <w:rFonts w:cs="Times New Roman"/>
          <w:b/>
          <w:b/>
          <w:bCs/>
          <w:i w:val="false"/>
          <w:i w:val="false"/>
          <w:iCs w:val="false"/>
          <w:sz w:val="26"/>
          <w:szCs w:val="26"/>
        </w:rPr>
      </w:pPr>
      <w:r>
        <w:rPr>
          <w:rFonts w:cs="Times New Roman"/>
          <w:b/>
          <w:bCs/>
          <w:i w:val="false"/>
          <w:iCs w:val="false"/>
          <w:sz w:val="26"/>
          <w:szCs w:val="26"/>
        </w:rPr>
        <w:t>Примірний перелік об’єктів косіння:</w:t>
      </w:r>
    </w:p>
    <w:p>
      <w:pPr>
        <w:pStyle w:val="Normal"/>
        <w:jc w:val="both"/>
        <w:rPr>
          <w:rFonts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val="uk-UA" w:bidi="ar-SA"/>
        </w:rPr>
        <w:tab/>
        <w:t xml:space="preserve">1. вул.Київська 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shd w:fill="auto" w:val="clear"/>
          <w:lang w:val="uk-U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val="uk-UA" w:bidi="ar-SA"/>
        </w:rPr>
        <w:tab/>
        <w:t>(від в’їзду в місто Прилуки з боку міста Ніжин до виїзду з міста зі сторони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val="uk-UA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val="uk-UA" w:bidi="ar-SA"/>
        </w:rPr>
        <w:t xml:space="preserve">с. Манжосівка) </w:t>
        <w:tab/>
        <w:tab/>
        <w:tab/>
        <w:tab/>
        <w:tab/>
        <w:tab/>
        <w:tab/>
        <w:tab/>
        <w:tab/>
        <w:tab/>
        <w:t xml:space="preserve">–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val="en-US" w:bidi="ar-SA"/>
        </w:rPr>
        <w:t xml:space="preserve">28,5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val="uk-UA" w:bidi="ar-SA"/>
        </w:rPr>
        <w:t>га;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</w:rPr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2.  вул.Козача (від вул. Київської до вул. 1 Травня) </w:t>
        <w:tab/>
        <w:tab/>
        <w:tab/>
        <w:tab/>
        <w:tab/>
        <w:t xml:space="preserve">– 0,47 га; 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</w:rPr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3.  вул.Андріївська (від вул. І.Скоропадського до залізничного переїзду) </w:t>
        <w:tab/>
        <w:tab/>
        <w:t>– 0,48 га;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</w:rPr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4.  вул.Ветеранська (від вул. І.Скоропадського до вул. 1 Травня) </w:t>
        <w:tab/>
        <w:tab/>
        <w:tab/>
        <w:t>– 0,8 га;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shd w:fill="auto" w:val="clear"/>
          <w:lang w:val="uk-U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val="uk-UA" w:bidi="ar-SA"/>
        </w:rPr>
        <w:tab/>
        <w:t xml:space="preserve">5.  вул.Іванівська </w:t>
        <w:tab/>
        <w:tab/>
        <w:tab/>
        <w:tab/>
        <w:tab/>
        <w:tab/>
        <w:tab/>
        <w:tab/>
        <w:tab/>
        <w:t>– 0,45 га;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</w:rPr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6  вул.Земська (від вул. І.Скоропадського до вул. 1 Травня) </w:t>
        <w:tab/>
        <w:tab/>
        <w:tab/>
        <w:tab/>
        <w:t xml:space="preserve">– 0,52 га; 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7.  вул.Юрія Коптєва (від вул. Київська до до залізничного мосту) </w:t>
        <w:tab/>
        <w:tab/>
        <w:tab/>
        <w:t xml:space="preserve">– </w:t>
      </w:r>
      <w:r>
        <w:rPr>
          <w:rFonts w:cs="Times New Roman"/>
          <w:color w:val="000000"/>
          <w:sz w:val="22"/>
          <w:szCs w:val="22"/>
          <w:shd w:fill="auto" w:val="clear"/>
          <w:lang w:val="uk-UA"/>
        </w:rPr>
        <w:t>0,2 га</w:t>
      </w:r>
      <w:r>
        <w:rPr>
          <w:rFonts w:cs="Times New Roman"/>
          <w:color w:val="000000"/>
          <w:sz w:val="22"/>
          <w:szCs w:val="22"/>
          <w:shd w:fill="auto" w:val="clear"/>
        </w:rPr>
        <w:t>;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</w:rPr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8.  вул.Вокзальна (від вул. Київської до Привокзальної площі) </w:t>
        <w:tab/>
        <w:tab/>
        <w:tab/>
        <w:t>– 1,69 га;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</w:rPr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9.  вул.Садова (від вул. Гоголя до Привокзальної площі) </w:t>
        <w:tab/>
        <w:tab/>
        <w:tab/>
        <w:tab/>
        <w:t>– 1,52 га;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</w:rPr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10.вул.Гімназична (від вул. Соборної до вул. 1 Травня) </w:t>
        <w:tab/>
        <w:tab/>
        <w:tab/>
        <w:tab/>
        <w:t xml:space="preserve">– 0,82 га; 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</w:rPr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11.вул.Котляревського (від вул. Боброва до вул. 1 Травня) </w:t>
        <w:tab/>
        <w:tab/>
        <w:tab/>
        <w:tab/>
        <w:t xml:space="preserve">– 2,9 га; 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</w:rPr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12..вул.Пушкіна (від вул.Соборної до вул.Гвардіської) </w:t>
        <w:tab/>
        <w:tab/>
        <w:tab/>
        <w:tab/>
        <w:t>– 0,5 га;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</w:rPr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13.вул.Ярмаркова (від вул.Соборної до вул.Гвардіської) </w:t>
        <w:tab/>
        <w:tab/>
        <w:tab/>
        <w:tab/>
        <w:t>– 1,0 га;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</w:rPr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14.вул.Михайлівська </w:t>
        <w:tab/>
        <w:tab/>
        <w:tab/>
        <w:tab/>
        <w:tab/>
        <w:tab/>
        <w:tab/>
        <w:tab/>
        <w:tab/>
        <w:t>– 0,1 га;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shd w:fill="auto" w:val="clear"/>
          <w:lang w:val="uk-U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val="uk-UA" w:bidi="ar-SA"/>
        </w:rPr>
        <w:tab/>
        <w:t xml:space="preserve">15.вул.Петропавлівська </w:t>
        <w:tab/>
        <w:tab/>
        <w:tab/>
        <w:tab/>
        <w:tab/>
        <w:tab/>
        <w:tab/>
        <w:tab/>
        <w:t>– 0,1 га;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</w:rPr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16.вул.Перемоги (від вул. Промислової до вул. Берегової) </w:t>
        <w:tab/>
        <w:tab/>
        <w:tab/>
        <w:tab/>
        <w:t>– 1,1 га;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</w:rPr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17.вул.Соборна (від Історичної зони до вул. Ярмаркова) </w:t>
        <w:tab/>
        <w:tab/>
        <w:tab/>
        <w:tab/>
        <w:t>– 0,7 га;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</w:rPr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18.вул.І.Скоропадського </w:t>
        <w:tab/>
        <w:tab/>
        <w:tab/>
        <w:tab/>
        <w:tab/>
        <w:tab/>
        <w:tab/>
        <w:tab/>
        <w:t>– 0,95 га;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</w:rPr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19.вул.Незалежності (від вул. Київської до вул. Густинської) </w:t>
        <w:tab/>
        <w:tab/>
        <w:tab/>
        <w:t>– 0,5 га;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</w:rPr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20.вул.Сорочинська (в т.ч. дитячий майданчик та церква) </w:t>
        <w:tab/>
        <w:tab/>
        <w:tab/>
        <w:tab/>
        <w:t>– 0,8 га;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</w:rPr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21.вул.Боброва (від вул.Сорочинської до вул.Котляревського) </w:t>
        <w:tab/>
        <w:tab/>
        <w:tab/>
        <w:t>– 0,9 га;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shd w:fill="auto" w:val="clear"/>
          <w:lang w:val="uk-U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val="uk-UA" w:bidi="ar-SA"/>
        </w:rPr>
        <w:tab/>
        <w:t xml:space="preserve">22.вул.Густинська </w:t>
        <w:tab/>
        <w:tab/>
        <w:tab/>
        <w:tab/>
        <w:tab/>
        <w:tab/>
        <w:tab/>
        <w:tab/>
        <w:tab/>
        <w:t>– 0,5 га;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</w:rPr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23.вул.1 Травня (від вул. Козачої до вул. Гвардійської) </w:t>
        <w:tab/>
        <w:tab/>
        <w:tab/>
        <w:tab/>
        <w:t>– 3,1 га;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24.вул.Костянтинівська (від вул. Алгазіна до вул. Житня) </w:t>
        <w:tab/>
        <w:tab/>
        <w:tab/>
        <w:tab/>
        <w:t xml:space="preserve">– </w:t>
      </w:r>
      <w:r>
        <w:rPr>
          <w:rFonts w:cs="Times New Roman"/>
          <w:color w:val="000000"/>
          <w:sz w:val="22"/>
          <w:szCs w:val="22"/>
          <w:shd w:fill="auto" w:val="clear"/>
          <w:lang w:val="uk-UA"/>
        </w:rPr>
        <w:t>3,1 га</w:t>
      </w:r>
      <w:r>
        <w:rPr>
          <w:rFonts w:cs="Times New Roman"/>
          <w:color w:val="000000"/>
          <w:sz w:val="22"/>
          <w:szCs w:val="22"/>
          <w:shd w:fill="auto" w:val="clear"/>
        </w:rPr>
        <w:t>;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</w:rPr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25.вул.Миколаївська (від вул. Алгазіна до вул. Садової) </w:t>
        <w:tab/>
        <w:tab/>
        <w:tab/>
        <w:tab/>
        <w:t>– 1,25 га;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</w:rPr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26.вул.Пирятинська (від вул. 1 Травня до виїзду з міста) </w:t>
        <w:tab/>
        <w:tab/>
        <w:tab/>
        <w:tab/>
        <w:t>– 9,8 га;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</w:rPr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27.вул.Польова </w:t>
        <w:tab/>
        <w:tab/>
        <w:tab/>
        <w:tab/>
        <w:tab/>
        <w:tab/>
        <w:tab/>
        <w:tab/>
        <w:tab/>
        <w:t>– 1,1 га;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</w:rPr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28.вул.Гвардійська (від вул. 1 Травня до вул.Дружби Народів) </w:t>
        <w:tab/>
        <w:tab/>
        <w:tab/>
        <w:t>– 2,05 га;</w:t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shd w:fill="auto" w:val="clear"/>
          <w:lang w:val="uk-U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val="uk-UA" w:bidi="ar-SA"/>
        </w:rPr>
        <w:tab/>
        <w:t xml:space="preserve">29.вул.Індустріальна </w:t>
        <w:tab/>
        <w:tab/>
        <w:tab/>
        <w:tab/>
        <w:tab/>
        <w:tab/>
        <w:tab/>
        <w:tab/>
        <w:tab/>
        <w:t>– 1,0 га;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</w:rPr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30.вул.18 Вересня (від вул. О. Кошового до залізничної колії) </w:t>
        <w:tab/>
        <w:tab/>
        <w:tab/>
        <w:t>– 0,45 га;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</w:rPr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31.вул.О.Кошового (від вул.Левка Ревуцького до вул.Ракітна) </w:t>
        <w:tab/>
        <w:tab/>
        <w:tab/>
        <w:t>– 0,7 га;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2"/>
          <w:szCs w:val="22"/>
          <w:shd w:fill="auto" w:val="clear"/>
        </w:rPr>
        <w:tab/>
        <w:t>32.</w:t>
      </w:r>
      <w:r>
        <w:rPr>
          <w:color w:val="000000"/>
          <w:sz w:val="22"/>
          <w:szCs w:val="22"/>
          <w:shd w:fill="auto" w:val="clear"/>
        </w:rPr>
        <w:t xml:space="preserve">вул.Левка Ревуцького </w:t>
        <w:tab/>
        <w:tab/>
        <w:tab/>
        <w:tab/>
        <w:tab/>
        <w:tab/>
        <w:tab/>
        <w:tab/>
      </w:r>
      <w:r>
        <w:rPr>
          <w:rFonts w:cs="Times New Roman"/>
          <w:color w:val="000000"/>
          <w:sz w:val="22"/>
          <w:szCs w:val="22"/>
          <w:shd w:fill="auto" w:val="clear"/>
        </w:rPr>
        <w:t>–</w:t>
      </w:r>
      <w:r>
        <w:rPr>
          <w:color w:val="000000"/>
          <w:sz w:val="22"/>
          <w:szCs w:val="22"/>
          <w:shd w:fill="auto" w:val="clear"/>
        </w:rPr>
        <w:t xml:space="preserve"> 0,2 га</w:t>
      </w:r>
      <w:r>
        <w:rPr>
          <w:rFonts w:cs="Times New Roman"/>
          <w:color w:val="000000"/>
          <w:sz w:val="22"/>
          <w:szCs w:val="22"/>
          <w:shd w:fill="auto" w:val="clear"/>
        </w:rPr>
        <w:t>;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2"/>
          <w:szCs w:val="22"/>
          <w:shd w:fill="auto" w:val="clear"/>
        </w:rPr>
        <w:tab/>
        <w:t>33.</w:t>
      </w:r>
      <w:r>
        <w:rPr>
          <w:color w:val="000000"/>
          <w:sz w:val="22"/>
          <w:szCs w:val="22"/>
          <w:shd w:fill="auto" w:val="clear"/>
        </w:rPr>
        <w:t xml:space="preserve">вул.Саксаганського </w:t>
        <w:tab/>
        <w:tab/>
        <w:tab/>
        <w:tab/>
        <w:tab/>
        <w:tab/>
        <w:tab/>
        <w:tab/>
      </w:r>
      <w:r>
        <w:rPr>
          <w:rFonts w:cs="Times New Roman"/>
          <w:color w:val="000000"/>
          <w:sz w:val="22"/>
          <w:szCs w:val="22"/>
          <w:shd w:fill="auto" w:val="clear"/>
        </w:rPr>
        <w:t>–</w:t>
      </w:r>
      <w:r>
        <w:rPr>
          <w:color w:val="000000"/>
          <w:sz w:val="22"/>
          <w:szCs w:val="22"/>
          <w:shd w:fill="auto" w:val="clear"/>
        </w:rPr>
        <w:t xml:space="preserve"> 0,6 га</w:t>
      </w:r>
      <w:r>
        <w:rPr>
          <w:rFonts w:cs="Times New Roman"/>
          <w:color w:val="000000"/>
          <w:sz w:val="22"/>
          <w:szCs w:val="22"/>
          <w:shd w:fill="auto" w:val="clear"/>
        </w:rPr>
        <w:t>;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2"/>
          <w:szCs w:val="22"/>
          <w:shd w:fill="auto" w:val="clear"/>
        </w:rPr>
        <w:tab/>
        <w:t>34.</w:t>
      </w:r>
      <w:r>
        <w:rPr>
          <w:color w:val="000000"/>
          <w:sz w:val="22"/>
          <w:szCs w:val="22"/>
          <w:shd w:fill="auto" w:val="clear"/>
        </w:rPr>
        <w:t xml:space="preserve">вул.Гетьмана Сагайдачного </w:t>
        <w:tab/>
        <w:tab/>
        <w:tab/>
        <w:tab/>
        <w:tab/>
        <w:tab/>
        <w:tab/>
      </w:r>
      <w:r>
        <w:rPr>
          <w:rFonts w:cs="Times New Roman"/>
          <w:color w:val="000000"/>
          <w:sz w:val="22"/>
          <w:szCs w:val="22"/>
          <w:shd w:fill="auto" w:val="clear"/>
        </w:rPr>
        <w:t>–</w:t>
      </w:r>
      <w:r>
        <w:rPr>
          <w:color w:val="000000"/>
          <w:sz w:val="22"/>
          <w:szCs w:val="22"/>
          <w:shd w:fill="auto" w:val="clear"/>
        </w:rPr>
        <w:t xml:space="preserve"> 0,8 га</w:t>
      </w:r>
      <w:r>
        <w:rPr>
          <w:rFonts w:cs="Times New Roman"/>
          <w:color w:val="000000"/>
          <w:sz w:val="22"/>
          <w:szCs w:val="22"/>
          <w:shd w:fill="auto" w:val="clear"/>
        </w:rPr>
        <w:t>;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</w:rPr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35.пров.Гетьмана Сагайдачного </w:t>
        <w:tab/>
        <w:tab/>
        <w:tab/>
        <w:tab/>
        <w:tab/>
        <w:tab/>
        <w:tab/>
        <w:t>– 0,4 га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</w:rPr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36.вул.Рокитна </w:t>
        <w:tab/>
        <w:tab/>
        <w:tab/>
        <w:tab/>
        <w:tab/>
        <w:tab/>
        <w:tab/>
        <w:tab/>
        <w:tab/>
        <w:t>– 0,2 га;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</w:rPr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37.Історична зона </w:t>
        <w:tab/>
        <w:tab/>
        <w:tab/>
        <w:tab/>
        <w:tab/>
        <w:tab/>
        <w:tab/>
        <w:tab/>
        <w:tab/>
        <w:t>– 6,0 га;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</w:rPr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38.Сквер ім. Т.Г. Шевченка </w:t>
        <w:tab/>
        <w:tab/>
        <w:tab/>
        <w:tab/>
        <w:tab/>
        <w:tab/>
        <w:tab/>
        <w:tab/>
        <w:t>– 0,75 га;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</w:rPr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39.Меморіал-сквер “Вічної слави” </w:t>
        <w:tab/>
        <w:tab/>
        <w:tab/>
        <w:tab/>
        <w:tab/>
        <w:tab/>
        <w:tab/>
        <w:t>– 0,7 га;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  <w:lang w:val="uk-UA" w:bidi="ar-SA"/>
        </w:rPr>
      </w:pPr>
      <w:r>
        <w:rPr>
          <w:rFonts w:cs="Times New Roman"/>
          <w:color w:val="000000"/>
          <w:sz w:val="22"/>
          <w:szCs w:val="22"/>
          <w:shd w:fill="auto" w:val="clear"/>
          <w:lang w:val="uk-UA" w:bidi="ar-SA"/>
        </w:rPr>
        <w:tab/>
        <w:t xml:space="preserve">40.Біля пам’ятника Жертвам фашизму (біля ЗОШ № 6) </w:t>
        <w:tab/>
        <w:tab/>
        <w:tab/>
        <w:tab/>
        <w:t>– 1,0 га;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</w:rPr>
      </w:pPr>
      <w:r>
        <w:rPr>
          <w:rFonts w:cs="Times New Roman"/>
          <w:color w:val="000000"/>
          <w:sz w:val="22"/>
          <w:szCs w:val="22"/>
          <w:shd w:fill="auto" w:val="clear"/>
        </w:rPr>
        <w:tab/>
        <w:t xml:space="preserve">41.Братські могили (на кладовищах) </w:t>
        <w:tab/>
        <w:tab/>
        <w:tab/>
        <w:tab/>
        <w:tab/>
        <w:tab/>
        <w:tab/>
        <w:t>– 0,05 га;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  <w:lang w:val="uk-UA" w:bidi="ar-SA"/>
        </w:rPr>
      </w:pPr>
      <w:r>
        <w:rPr>
          <w:rFonts w:cs="Times New Roman"/>
          <w:color w:val="000000"/>
          <w:sz w:val="22"/>
          <w:szCs w:val="22"/>
          <w:shd w:fill="auto" w:val="clear"/>
          <w:lang w:val="uk-UA" w:bidi="ar-SA"/>
        </w:rPr>
        <w:tab/>
        <w:t xml:space="preserve">42.Пам’ятний знак “Воїнам визволителям” по вул.Пирятинській </w:t>
        <w:tab/>
        <w:tab/>
        <w:tab/>
        <w:t>– 0,4 га;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  <w:lang w:val="uk-UA" w:bidi="ar-SA"/>
        </w:rPr>
      </w:pPr>
      <w:r>
        <w:rPr>
          <w:rFonts w:cs="Times New Roman"/>
          <w:color w:val="000000"/>
          <w:sz w:val="22"/>
          <w:szCs w:val="22"/>
          <w:shd w:fill="auto" w:val="clear"/>
          <w:lang w:val="uk-UA" w:bidi="ar-SA"/>
        </w:rPr>
        <w:tab/>
        <w:t xml:space="preserve">43.Газони </w:t>
        <w:tab/>
        <w:tab/>
        <w:tab/>
        <w:tab/>
        <w:tab/>
        <w:tab/>
        <w:tab/>
        <w:tab/>
        <w:t xml:space="preserve"> </w:t>
        <w:tab/>
        <w:tab/>
        <w:t>– 0,65 га;</w:t>
      </w:r>
    </w:p>
    <w:p>
      <w:pPr>
        <w:pStyle w:val="Normal"/>
        <w:jc w:val="both"/>
        <w:rPr>
          <w:rFonts w:cs="Times New Roman"/>
          <w:color w:val="000000"/>
          <w:sz w:val="22"/>
          <w:szCs w:val="22"/>
          <w:shd w:fill="auto" w:val="clear"/>
          <w:lang w:val="uk-UA" w:bidi="ar-SA"/>
        </w:rPr>
      </w:pPr>
      <w:r>
        <w:rPr>
          <w:rFonts w:cs="Times New Roman"/>
          <w:color w:val="000000"/>
          <w:sz w:val="22"/>
          <w:szCs w:val="22"/>
          <w:shd w:fill="auto" w:val="clear"/>
          <w:lang w:val="uk-UA" w:bidi="ar-SA"/>
        </w:rPr>
        <w:tab/>
        <w:t xml:space="preserve">44.Ліквідація карантинних бур’янів у місцях їх локалізації </w:t>
        <w:tab/>
        <w:tab/>
        <w:tab/>
        <w:tab/>
        <w:t>– 2,0 га.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583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ar-SA" w:bidi="ar-SA"/>
    </w:rPr>
  </w:style>
  <w:style w:type="paragraph" w:styleId="3">
    <w:name w:val="Heading 3"/>
    <w:basedOn w:val="Normal"/>
    <w:next w:val="Style20"/>
    <w:link w:val="30"/>
    <w:qFormat/>
    <w:rsid w:val="0052583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52583c"/>
    <w:rPr>
      <w:rFonts w:ascii="Times New Roman" w:hAnsi="Times New Roman" w:eastAsia="Times New Roman" w:cs="Times New Roman"/>
      <w:b/>
      <w:bCs/>
      <w:sz w:val="27"/>
      <w:szCs w:val="27"/>
      <w:lang w:val="uk-UA" w:eastAsia="ar-SA"/>
    </w:rPr>
  </w:style>
  <w:style w:type="character" w:styleId="Style13">
    <w:name w:val="Интернет-ссылка"/>
    <w:rsid w:val="0052583c"/>
    <w:rPr>
      <w:color w:val="000080"/>
      <w:u w:val="single"/>
    </w:rPr>
  </w:style>
  <w:style w:type="character" w:styleId="Style14" w:customStyle="1">
    <w:name w:val="Основной текст Знак"/>
    <w:basedOn w:val="DefaultParagraphFont"/>
    <w:link w:val="a0"/>
    <w:uiPriority w:val="99"/>
    <w:semiHidden/>
    <w:qFormat/>
    <w:rsid w:val="0052583c"/>
    <w:rPr>
      <w:rFonts w:ascii="Times New Roman" w:hAnsi="Times New Roman" w:eastAsia="Times New Roman" w:cs="Times New Roman"/>
      <w:sz w:val="24"/>
      <w:szCs w:val="24"/>
      <w:lang w:val="uk-UA" w:eastAsia="ar-SA"/>
    </w:rPr>
  </w:style>
  <w:style w:type="character" w:styleId="2" w:customStyle="1">
    <w:name w:val="Основной шрифт абзаца2"/>
    <w:qFormat/>
    <w:rsid w:val="001125fb"/>
    <w:rPr/>
  </w:style>
  <w:style w:type="character" w:styleId="Style15">
    <w:name w:val="Основной шрифт абзаца"/>
    <w:qFormat/>
    <w:rPr/>
  </w:style>
  <w:style w:type="character" w:styleId="Style16">
    <w:name w:val="Верхний колонтитул Знак"/>
    <w:qFormat/>
    <w:rPr>
      <w:rFonts w:ascii="Calibri" w:hAnsi="Calibri" w:eastAsia="Calibri"/>
      <w:lang w:eastAsia="en-US"/>
    </w:rPr>
  </w:style>
  <w:style w:type="character" w:styleId="Style17">
    <w:name w:val="Нижний колонтитул Знак"/>
    <w:qFormat/>
    <w:rPr>
      <w:rFonts w:ascii="Calibri" w:hAnsi="Calibri" w:eastAsia="Calibri"/>
      <w:lang w:eastAsia="en-US"/>
    </w:rPr>
  </w:style>
  <w:style w:type="character" w:styleId="210pt">
    <w:name w:val="Основной текст (2) + 10 pt"/>
    <w:qFormat/>
    <w:rPr>
      <w:i/>
      <w:spacing w:val="0"/>
      <w:sz w:val="20"/>
      <w:shd w:fill="FFFFFF" w:val="clear"/>
      <w:lang w:val="uk-UA" w:eastAsia="uk-UA"/>
    </w:rPr>
  </w:style>
  <w:style w:type="character" w:styleId="Ngbindingngscope">
    <w:name w:val="ng-binding ng-scope"/>
    <w:qFormat/>
    <w:rPr/>
  </w:style>
  <w:style w:type="character" w:styleId="6">
    <w:name w:val="Основной шрифт абзаца6"/>
    <w:qFormat/>
    <w:rPr/>
  </w:style>
  <w:style w:type="character" w:styleId="Style18">
    <w:name w:val="Посещённая гиперссылка"/>
    <w:rPr>
      <w:color w:val="800000"/>
      <w:u w:val="single"/>
      <w:lang w:val="zxx" w:eastAsia="zxx" w:bidi="zxx"/>
    </w:rPr>
  </w:style>
  <w:style w:type="character" w:styleId="32">
    <w:name w:val="Основной шрифт абзаца3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link w:val="a6"/>
    <w:uiPriority w:val="99"/>
    <w:semiHidden/>
    <w:unhideWhenUsed/>
    <w:rsid w:val="0052583c"/>
    <w:pPr>
      <w:spacing w:before="0" w:after="12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52583c"/>
    <w:pPr>
      <w:spacing w:before="280" w:after="280"/>
    </w:pPr>
    <w:rPr/>
  </w:style>
  <w:style w:type="paragraph" w:styleId="Standard" w:customStyle="1">
    <w:name w:val="Standard"/>
    <w:qFormat/>
    <w:rsid w:val="0052583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Style24" w:customStyle="1">
    <w:name w:val="Содержимое таблицы"/>
    <w:basedOn w:val="Normal"/>
    <w:qFormat/>
    <w:rsid w:val="001125fb"/>
    <w:pPr>
      <w:widowControl w:val="false"/>
      <w:suppressLineNumbers/>
    </w:pPr>
    <w:rPr>
      <w:rFonts w:eastAsia="Lucida Sans Unicode" w:cs="Mangal"/>
      <w:kern w:val="2"/>
      <w:sz w:val="28"/>
      <w:lang w:eastAsia="hi-IN" w:bidi="hi-IN"/>
    </w:rPr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Default">
    <w:name w:val="Default"/>
    <w:basedOn w:val="Normal"/>
    <w:qFormat/>
    <w:pPr>
      <w:suppressAutoHyphens w:val="true"/>
      <w:bidi w:val="0"/>
    </w:pPr>
    <w:rPr>
      <w:rFonts w:ascii="Times New Roman" w:hAnsi="Times New Roman" w:eastAsia="Times New Roman" w:cs="Times New Roman"/>
      <w:color w:val="000000"/>
      <w:szCs w:val="24"/>
      <w:lang w:val="ru-RU" w:bidi="hi-IN"/>
    </w:rPr>
  </w:style>
  <w:style w:type="paragraph" w:styleId="1Ctrl">
    <w:name w:val="Статья_заголовок 1 (Статья ___Ctrl)"/>
    <w:qFormat/>
    <w:pPr>
      <w:keepNext w:val="true"/>
      <w:keepLines/>
      <w:widowControl/>
      <w:suppressAutoHyphens w:val="true"/>
      <w:bidi w:val="0"/>
      <w:spacing w:lineRule="auto" w:line="240" w:before="397" w:after="170"/>
      <w:jc w:val="left"/>
      <w:textAlignment w:val="center"/>
    </w:pPr>
    <w:rPr>
      <w:rFonts w:ascii="Times New Roman" w:hAnsi="Times New Roman" w:eastAsia="Liberation Serif" w:cs="Liberation Serif"/>
      <w:b/>
      <w:color w:val="000000"/>
      <w:kern w:val="2"/>
      <w:sz w:val="36"/>
      <w:szCs w:val="36"/>
      <w:lang w:val="uk-UA" w:eastAsia="hi-IN" w:bidi="ar-SA"/>
    </w:rPr>
  </w:style>
  <w:style w:type="paragraph" w:styleId="Ctrl">
    <w:name w:val="Статья_основной_текст (Статья ___Ctrl)"/>
    <w:qFormat/>
    <w:pPr>
      <w:widowControl/>
      <w:suppressAutoHyphens w:val="true"/>
      <w:bidi w:val="0"/>
      <w:spacing w:lineRule="atLeast" w:line="250" w:before="0" w:after="0"/>
      <w:ind w:firstLine="454"/>
      <w:jc w:val="both"/>
      <w:textAlignment w:val="center"/>
    </w:pPr>
    <w:rPr>
      <w:rFonts w:ascii="Times New Roman" w:hAnsi="Times New Roman" w:eastAsia="Liberation Serif" w:cs="Liberation Serif"/>
      <w:color w:val="000000"/>
      <w:kern w:val="2"/>
      <w:sz w:val="24"/>
      <w:szCs w:val="25"/>
      <w:lang w:val="uk-UA" w:eastAsia="hi-IN" w:bidi="ar-SA"/>
    </w:rPr>
  </w:style>
  <w:style w:type="paragraph" w:styleId="ShiftAlt">
    <w:name w:val="Додаток_основной_текст (Додаток___Shift+Alt)"/>
    <w:qFormat/>
    <w:pPr>
      <w:widowControl/>
      <w:suppressAutoHyphens w:val="true"/>
      <w:bidi w:val="0"/>
      <w:spacing w:lineRule="atLeast" w:line="210" w:before="0" w:after="0"/>
      <w:ind w:firstLine="227"/>
      <w:jc w:val="both"/>
      <w:textAlignment w:val="center"/>
    </w:pPr>
    <w:rPr>
      <w:rFonts w:ascii="Times New Roman" w:hAnsi="Times New Roman" w:eastAsia="Liberation Serif" w:cs="Liberation Serif"/>
      <w:color w:val="000000"/>
      <w:kern w:val="2"/>
      <w:sz w:val="24"/>
      <w:szCs w:val="18"/>
      <w:lang w:val="uk-UA" w:eastAsia="hi-IN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LibreOffice/7.0.4.2$Windows_X86_64 LibreOffice_project/dcf040e67528d9187c66b2379df5ea4407429775</Application>
  <AppVersion>15.0000</AppVersion>
  <Pages>2</Pages>
  <Words>555</Words>
  <Characters>3657</Characters>
  <CharactersWithSpaces>4513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ugkh5</dc:creator>
  <dc:description/>
  <dc:language>uk-UA</dc:language>
  <cp:lastModifiedBy/>
  <dcterms:modified xsi:type="dcterms:W3CDTF">2023-04-28T08:25:01Z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